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16" w:rsidRDefault="00981987" w:rsidP="00312616">
      <w:pPr>
        <w:spacing w:after="120"/>
        <w:jc w:val="center"/>
        <w:rPr>
          <w:rFonts w:ascii="Palatino Linotype" w:hAnsi="Palatino Linotype"/>
          <w:b/>
          <w:smallCaps/>
          <w:color w:val="000000"/>
        </w:rPr>
      </w:pPr>
      <w:r>
        <w:rPr>
          <w:rFonts w:ascii="Palatino Linotype" w:hAnsi="Palatino Linotype"/>
          <w:b/>
          <w:smallCaps/>
          <w:color w:val="000000"/>
        </w:rPr>
        <w:t>lei municipal nº. 08,</w:t>
      </w:r>
      <w:bookmarkStart w:id="0" w:name="_GoBack"/>
      <w:bookmarkEnd w:id="0"/>
      <w:r>
        <w:rPr>
          <w:rFonts w:ascii="Palatino Linotype" w:hAnsi="Palatino Linotype"/>
          <w:b/>
          <w:color w:val="000000"/>
        </w:rPr>
        <w:t xml:space="preserve"> de 29 de março de 2021</w:t>
      </w:r>
    </w:p>
    <w:p w:rsidR="00312616" w:rsidRDefault="00312616" w:rsidP="00312616">
      <w:pPr>
        <w:jc w:val="center"/>
        <w:rPr>
          <w:rFonts w:ascii="Palatino Linotype" w:hAnsi="Palatino Linotype"/>
        </w:rPr>
      </w:pPr>
    </w:p>
    <w:p w:rsidR="00312616" w:rsidRDefault="00654241" w:rsidP="00312616">
      <w:pPr>
        <w:spacing w:after="120"/>
        <w:ind w:left="4820"/>
        <w:jc w:val="both"/>
        <w:rPr>
          <w:rFonts w:ascii="Palatino Linotype" w:hAnsi="Palatino Linotype"/>
          <w:smallCaps/>
          <w:color w:val="000000"/>
        </w:rPr>
      </w:pPr>
      <w:r>
        <w:rPr>
          <w:rFonts w:ascii="Palatino Linotype" w:hAnsi="Palatino Linotype"/>
          <w:smallCaps/>
          <w:color w:val="000000"/>
        </w:rPr>
        <w:t>Dispõe sobre a criação</w:t>
      </w:r>
      <w:r w:rsidR="00312616">
        <w:rPr>
          <w:rFonts w:ascii="Palatino Linotype" w:hAnsi="Palatino Linotype"/>
          <w:smallCaps/>
          <w:color w:val="000000"/>
        </w:rPr>
        <w:t xml:space="preserve"> do Conselho Municipal de Acompanhamento e Controle Social do Fundo de Manutenção e Desenvolvimento da Educação Básica e de Valorização dos Profissionais da Educação – CACS/ FUNDEB.</w:t>
      </w:r>
    </w:p>
    <w:p w:rsidR="00312616" w:rsidRDefault="00312616" w:rsidP="00312616">
      <w:pPr>
        <w:jc w:val="right"/>
        <w:rPr>
          <w:rFonts w:ascii="Palatino Linotype" w:hAnsi="Palatino Linotype"/>
        </w:rPr>
      </w:pP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O Prefeito Municipal de Lamim, faço saber que a Câmara Municipal de Lamim aprovou, e eu, em seu nome, sanciono e promulgo a seguinte Lei: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Capítulo I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Das Disposições Preliminares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</w:rPr>
      </w:pP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1º</w:t>
      </w:r>
      <w:r>
        <w:rPr>
          <w:rFonts w:ascii="Palatino Linotype" w:hAnsi="Palatino Linotype"/>
          <w:b/>
          <w:color w:val="000000"/>
        </w:rPr>
        <w:t>.</w:t>
      </w:r>
      <w:r w:rsidR="00654241">
        <w:rPr>
          <w:rFonts w:ascii="Palatino Linotype" w:hAnsi="Palatino Linotype"/>
          <w:color w:val="000000"/>
        </w:rPr>
        <w:t xml:space="preserve">  Fica criado</w:t>
      </w:r>
      <w:r>
        <w:rPr>
          <w:rFonts w:ascii="Palatino Linotype" w:hAnsi="Palatino Linotype"/>
          <w:color w:val="000000"/>
        </w:rPr>
        <w:t xml:space="preserve"> o Conselho Municipal de Acompanhamento e Controle Social do Fundo de Manutenção e Desenvolvimento da Educação Básica e de Valorização dos Profissionais da Educação – CACS/FUNDEB, no âmbito do Município de Lamim.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Capítulo II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Da composição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2º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 O Conselho a que se refere o art. 1º é constituído por 13 (treze) membros titulares, acompanhados de seus respectivos suplentes, conforme representação e indicação a seguir discriminadas: </w:t>
      </w:r>
    </w:p>
    <w:p w:rsidR="00312616" w:rsidRPr="00F43FD3" w:rsidRDefault="00312616" w:rsidP="00312616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t>a) 2 (dois) representantes do Poder Executivo municipal, dos quais pelo menos 1 (um) da Secretaria Municipal de Educação ou órgão educacional equivalente;</w:t>
      </w:r>
    </w:p>
    <w:p w:rsidR="00312616" w:rsidRPr="00F43FD3" w:rsidRDefault="00312616" w:rsidP="00312616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t xml:space="preserve">b) 1 (um) representante dos professores da educação básica pública; </w:t>
      </w:r>
    </w:p>
    <w:p w:rsidR="00312616" w:rsidRPr="00F43FD3" w:rsidRDefault="00312616" w:rsidP="00312616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t xml:space="preserve">c) 1 (um) representante dos diretores das escolas básicas públicas; </w:t>
      </w:r>
    </w:p>
    <w:p w:rsidR="00312616" w:rsidRPr="00F43FD3" w:rsidRDefault="00312616" w:rsidP="00312616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t xml:space="preserve">d) 1 (um) representante dos servidores técnico-administrativos das escolas básicas públicas; </w:t>
      </w:r>
    </w:p>
    <w:p w:rsidR="00312616" w:rsidRPr="00F43FD3" w:rsidRDefault="00312616" w:rsidP="00312616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t xml:space="preserve">e) 2 (dois) representantes dos pais de alunos da educação básica pública; </w:t>
      </w:r>
    </w:p>
    <w:p w:rsidR="00312616" w:rsidRPr="00F43FD3" w:rsidRDefault="00312616" w:rsidP="00312616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lastRenderedPageBreak/>
        <w:t xml:space="preserve">f) 2 (dois) representantes dos estudantes da educação básica pública, dos quais 1 (um) indicado pela entidade de estudantes secundaristas. </w:t>
      </w:r>
    </w:p>
    <w:p w:rsidR="00312616" w:rsidRDefault="00312616" w:rsidP="00380254">
      <w:pPr>
        <w:jc w:val="both"/>
        <w:rPr>
          <w:rFonts w:ascii="Palatino Linotype" w:hAnsi="Palatino Linotype"/>
          <w:color w:val="000000"/>
        </w:rPr>
      </w:pPr>
      <w:r w:rsidRPr="00F43FD3">
        <w:rPr>
          <w:rFonts w:ascii="Palatino Linotype" w:hAnsi="Palatino Linotype"/>
          <w:color w:val="000000"/>
        </w:rPr>
        <w:t xml:space="preserve">g) 1 (um) representante do Conselho Tutelar a que se refere a Lei nº 8.069, de 13 de julho de 1990, indicado por seus pares; </w:t>
      </w:r>
    </w:p>
    <w:p w:rsidR="00380254" w:rsidRPr="00F43FD3" w:rsidRDefault="00380254" w:rsidP="00380254">
      <w:pPr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h) 1 (um) representante do Conselho Municipal de Educação;</w:t>
      </w:r>
    </w:p>
    <w:p w:rsidR="00312616" w:rsidRPr="00F43FD3" w:rsidRDefault="00380254" w:rsidP="00312616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i</w:t>
      </w:r>
      <w:r w:rsidR="00312616" w:rsidRPr="00F43FD3">
        <w:rPr>
          <w:rFonts w:ascii="Palatino Linotype" w:hAnsi="Palatino Linotype"/>
          <w:color w:val="000000"/>
        </w:rPr>
        <w:t xml:space="preserve">) 2 (dois) representantes de organizações da sociedade civil; </w:t>
      </w:r>
    </w:p>
    <w:p w:rsidR="00312616" w:rsidRDefault="00312616" w:rsidP="00312616">
      <w:pPr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§1°. Os membros titulares que serão indicados pelo conjunto dos estabelecimentos, farão o processo eletivo organizado para escolha do Presidente.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</w:rPr>
        <w:t>§ 2º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A indicação referida no </w:t>
      </w:r>
      <w:r>
        <w:rPr>
          <w:rFonts w:ascii="Palatino Linotype" w:hAnsi="Palatino Linotype"/>
          <w:i/>
          <w:color w:val="000000"/>
        </w:rPr>
        <w:t>caput</w:t>
      </w:r>
      <w:r>
        <w:rPr>
          <w:rFonts w:ascii="Palatino Linotype" w:hAnsi="Palatino Linotype"/>
          <w:color w:val="000000"/>
        </w:rPr>
        <w:t xml:space="preserve"> deste artigo, para os mandatos posteriores ao primeiro, deverá ocorrer em até vinte dias antes do término do mandato vigente, para a nomeação dos conselheiros que atuarão no mandato seguinte.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§ 3º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Os conselheiros de que trata o </w:t>
      </w:r>
      <w:r>
        <w:rPr>
          <w:rFonts w:ascii="Palatino Linotype" w:hAnsi="Palatino Linotype"/>
          <w:i/>
          <w:color w:val="000000"/>
        </w:rPr>
        <w:t>caput</w:t>
      </w:r>
      <w:r>
        <w:rPr>
          <w:rFonts w:ascii="Palatino Linotype" w:hAnsi="Palatino Linotype"/>
          <w:color w:val="000000"/>
        </w:rPr>
        <w:t xml:space="preserve"> deste artigo deverão guardar vínculo formal com os segmentos que representam, devendo esta condição constituir-se como pré-requisito à participação no processo eletivo previsto no § 1º deste artigo.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§ 4º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São impedidos de integrar o Conselho do FUNDEB: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 - </w:t>
      </w:r>
      <w:proofErr w:type="gramStart"/>
      <w:r>
        <w:rPr>
          <w:rFonts w:ascii="Palatino Linotype" w:hAnsi="Palatino Linotype"/>
          <w:color w:val="000000"/>
        </w:rPr>
        <w:t>cônjuge e parentes</w:t>
      </w:r>
      <w:proofErr w:type="gramEnd"/>
      <w:r>
        <w:rPr>
          <w:rFonts w:ascii="Palatino Linotype" w:hAnsi="Palatino Linotype"/>
          <w:color w:val="000000"/>
        </w:rPr>
        <w:t xml:space="preserve"> consanguíneos ou afins, até terceiro grau, do Prefeito e do Vice-Prefeito, e dos Secretários Municipais;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II - </w:t>
      </w:r>
      <w:proofErr w:type="gramStart"/>
      <w:r>
        <w:rPr>
          <w:rFonts w:ascii="Palatino Linotype" w:hAnsi="Palatino Linotype"/>
          <w:color w:val="000000"/>
        </w:rPr>
        <w:t>tesoureiro</w:t>
      </w:r>
      <w:proofErr w:type="gramEnd"/>
      <w:r>
        <w:rPr>
          <w:rFonts w:ascii="Palatino Linotype" w:hAnsi="Palatino Linotype"/>
          <w:color w:val="000000"/>
        </w:rPr>
        <w:t>, contador ou funcionário de empresa de assessoria ou consultoria que prestem serviços relacionados à administração ou controle interno dos recursos do Fundo, bem como cônjuges, parentes consanguíneos ou afins, até terceiro grau, desses profissionais;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III - estudantes que não sejam emancipados; e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IV - </w:t>
      </w:r>
      <w:proofErr w:type="gramStart"/>
      <w:r>
        <w:rPr>
          <w:rFonts w:ascii="Palatino Linotype" w:hAnsi="Palatino Linotype"/>
          <w:color w:val="000000"/>
        </w:rPr>
        <w:t>pais</w:t>
      </w:r>
      <w:proofErr w:type="gramEnd"/>
      <w:r>
        <w:rPr>
          <w:rFonts w:ascii="Palatino Linotype" w:hAnsi="Palatino Linotype"/>
          <w:color w:val="000000"/>
        </w:rPr>
        <w:t xml:space="preserve"> de alunos que: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a) exerçam cargos ou funções públicas de livre nomeação e exoneração no âmbito do Poder Executivo Municipal; ou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b) prestem serviços terceirizados ao Poder Executivo Municipal.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§ 5°. Na hipótese de inexistência de estudantes emancipados, representação estudantil poderá acompanhar as reuniões do conselho com direito a voz. </w:t>
      </w:r>
    </w:p>
    <w:p w:rsidR="00312616" w:rsidRDefault="00312616" w:rsidP="00312616">
      <w:pPr>
        <w:jc w:val="both"/>
        <w:rPr>
          <w:rFonts w:ascii="Palatino Linotype" w:hAnsi="Palatino Linotype"/>
        </w:rPr>
      </w:pP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§ 6º. O presidente do conselho será eleito por seus pares em reunião do colegiado, sendo impedido de ocupar a função o representante do governo gestor dos recursos do Fundo no âmbito do Município.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§ 7º</w:t>
      </w:r>
      <w:r>
        <w:rPr>
          <w:rFonts w:ascii="Palatino Linotype" w:hAnsi="Palatino Linotype"/>
          <w:b/>
        </w:rPr>
        <w:t>.</w:t>
      </w:r>
      <w:r>
        <w:rPr>
          <w:rFonts w:ascii="Palatino Linotype" w:hAnsi="Palatino Linotype"/>
        </w:rPr>
        <w:t xml:space="preserve"> As organizações da sociedade civil a que se refere este artigo: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a) são pessoas jurídicas de direito privado sem fins lucrativos, nos termos da Lei nº 13.019, de 31 de julho de 2014;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desenvolvem atividades direcionadas à localidade do respectivo conselho;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c) devem atestar o seu funcionamento há pelo menos 1 (um) ano contado da data de publicação do edital;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d) não figuram como beneficiárias de recursos fiscalizados pelo conselho ou como contratadas da Administração da localidade a título oneroso. 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3º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O suplente substituirá o titular do Conselho do FUNDEB nos casos de afastamentos temporários ou eventuais deste, e assumirá sua vaga temporariamente (até que seja nomeado outro titular) nas hipóteses de afastamento definitivo decorrente de: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 – </w:t>
      </w:r>
      <w:proofErr w:type="gramStart"/>
      <w:r>
        <w:rPr>
          <w:rFonts w:ascii="Palatino Linotype" w:hAnsi="Palatino Linotype"/>
          <w:color w:val="000000"/>
        </w:rPr>
        <w:t>desligamento</w:t>
      </w:r>
      <w:proofErr w:type="gramEnd"/>
      <w:r>
        <w:rPr>
          <w:rFonts w:ascii="Palatino Linotype" w:hAnsi="Palatino Linotype"/>
          <w:color w:val="000000"/>
        </w:rPr>
        <w:t xml:space="preserve"> por motivos particulares;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II – </w:t>
      </w:r>
      <w:proofErr w:type="gramStart"/>
      <w:r>
        <w:rPr>
          <w:rFonts w:ascii="Palatino Linotype" w:hAnsi="Palatino Linotype"/>
          <w:color w:val="000000"/>
        </w:rPr>
        <w:t>rompimento</w:t>
      </w:r>
      <w:proofErr w:type="gramEnd"/>
      <w:r>
        <w:rPr>
          <w:rFonts w:ascii="Palatino Linotype" w:hAnsi="Palatino Linotype"/>
          <w:color w:val="000000"/>
        </w:rPr>
        <w:t xml:space="preserve"> do vínculo de que trata o § 3º, do art. 2º; e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III – situação de impedimento do titular no decorrer do mandato, no caso previsto no § 4º, do art.2°.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§ 1º Na hipótese em que o conselheiro titular e/ou suplente incorrerem na situação de afastamento definitivo descrito no art. 3º, a instituição ou segmento responsável pela indicação deverá indicar novos representantes para o Conselho do FUNDEB.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bookmarkStart w:id="1" w:name="_gjdgxs"/>
      <w:bookmarkEnd w:id="1"/>
      <w:r>
        <w:rPr>
          <w:rFonts w:ascii="Palatino Linotype" w:hAnsi="Palatino Linotype"/>
          <w:color w:val="000000"/>
        </w:rPr>
        <w:t>Art. 4º. O mandato dos membros do Conselho será de 4 (quatro) anos, vedada a recondução para o próximo mandato.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§1° - O primeiro mandato dos membros do Conselho terá validade até a data de 31/12/2022, sendo um mandato para regularização da nova lei.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§2° - A partir do dia 01/01/2023, o mandato será de 4 (quatro) anos, sendo vedada a reeleição.</w:t>
      </w:r>
    </w:p>
    <w:p w:rsidR="00312616" w:rsidRDefault="00312616" w:rsidP="00312616">
      <w:pPr>
        <w:spacing w:before="170" w:after="170"/>
        <w:ind w:firstLine="283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Capítulo III</w:t>
      </w:r>
    </w:p>
    <w:p w:rsidR="00312616" w:rsidRDefault="00312616" w:rsidP="00312616">
      <w:pPr>
        <w:spacing w:before="170" w:after="170"/>
        <w:ind w:firstLine="283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Das Competências do Conselho do FUNDEB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5º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Compete ao Conselho do FUNDEB: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I – </w:t>
      </w:r>
      <w:proofErr w:type="gramStart"/>
      <w:r>
        <w:rPr>
          <w:rFonts w:ascii="Palatino Linotype" w:hAnsi="Palatino Linotype"/>
        </w:rPr>
        <w:t>acompanhar e controlar</w:t>
      </w:r>
      <w:proofErr w:type="gramEnd"/>
      <w:r>
        <w:rPr>
          <w:rFonts w:ascii="Palatino Linotype" w:hAnsi="Palatino Linotype"/>
        </w:rPr>
        <w:t xml:space="preserve"> a repartição, transferência e aplicação dos recursos do Fundo;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 – </w:t>
      </w:r>
      <w:proofErr w:type="gramStart"/>
      <w:r>
        <w:rPr>
          <w:rFonts w:ascii="Palatino Linotype" w:hAnsi="Palatino Linotype"/>
        </w:rPr>
        <w:t>supervisionar</w:t>
      </w:r>
      <w:proofErr w:type="gramEnd"/>
      <w:r>
        <w:rPr>
          <w:rFonts w:ascii="Palatino Linotype" w:hAnsi="Palatino Linotype"/>
        </w:rPr>
        <w:t xml:space="preserve"> a realização do Censo Escolar e a elaboração da proposta orçamentária anual do Poder Executivo Municipal, com o objetivo de concorrer para o regular e tempestivo tratamento e encaminhamento dos dados estatísticos e financeiros que alicerçam a operacionalização do FUNDEB;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III – examinar os registros contábeis e demonstrativos gerenciais mensais e atualizados relativos aos recursos repassados ou retidos à conta do Fundo; 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IV – </w:t>
      </w:r>
      <w:proofErr w:type="gramStart"/>
      <w:r>
        <w:rPr>
          <w:rFonts w:ascii="Palatino Linotype" w:hAnsi="Palatino Linotype"/>
        </w:rPr>
        <w:t>emitir</w:t>
      </w:r>
      <w:proofErr w:type="gramEnd"/>
      <w:r>
        <w:rPr>
          <w:rFonts w:ascii="Palatino Linotype" w:hAnsi="Palatino Linotype"/>
        </w:rPr>
        <w:t xml:space="preserve"> parecer sobre as prestações de contas dos recursos do Fundo, que deverão ser disponibilizadas mensalmente pelo Poder Executivo Municipal; e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V – </w:t>
      </w:r>
      <w:proofErr w:type="gramStart"/>
      <w:r>
        <w:rPr>
          <w:rFonts w:ascii="Palatino Linotype" w:hAnsi="Palatino Linotype"/>
          <w:color w:val="000000"/>
        </w:rPr>
        <w:t>aos</w:t>
      </w:r>
      <w:proofErr w:type="gramEnd"/>
      <w:r>
        <w:rPr>
          <w:rFonts w:ascii="Palatino Linotype" w:hAnsi="Palatino Linotype"/>
          <w:color w:val="000000"/>
        </w:rPr>
        <w:t xml:space="preserve"> conselhos incumbe, também, acompanhar a aplicação dos recursos federais transferidos à conta do Programa Nacional de Apoio ao Transporte do Escolar - PNATE e do Programa de Apoio aos Sistemas de Ensino para Atendimento à Educação de Jovens e Adultos - PEJA e, ainda, receber e analisar as prestações de contas referentes a esses Programas, formulando pareceres conclusivos acerca da aplicação desses recursos e encaminhando-os ao Fundo Nacional de Desenvolvimento da Educação - FNDE.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VI - </w:t>
      </w:r>
      <w:proofErr w:type="gramStart"/>
      <w:r>
        <w:rPr>
          <w:rFonts w:ascii="Palatino Linotype" w:hAnsi="Palatino Linotype"/>
          <w:color w:val="000000"/>
        </w:rPr>
        <w:t>outras</w:t>
      </w:r>
      <w:proofErr w:type="gramEnd"/>
      <w:r>
        <w:rPr>
          <w:rFonts w:ascii="Palatino Linotype" w:hAnsi="Palatino Linotype"/>
          <w:color w:val="000000"/>
        </w:rPr>
        <w:t xml:space="preserve"> atribuições que a legislação específica eventualmente estabeleça;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Parágrafo Único. O parecer de que trata o inciso IV deste artigo deverá ser apresentado ao Poder Executivo Municipal em até trinta dias antes do vencimento do prazo para a apresentação da prestação de contas junto ao Tribunal de Contas do Estado.</w:t>
      </w:r>
    </w:p>
    <w:p w:rsidR="00312616" w:rsidRDefault="00312616" w:rsidP="00312616">
      <w:pPr>
        <w:jc w:val="both"/>
        <w:rPr>
          <w:rFonts w:ascii="Palatino Linotype" w:hAnsi="Palatino Linotype"/>
          <w:sz w:val="32"/>
          <w:szCs w:val="32"/>
        </w:rPr>
      </w:pPr>
    </w:p>
    <w:p w:rsidR="00312616" w:rsidRDefault="00312616" w:rsidP="00312616">
      <w:pPr>
        <w:spacing w:before="170" w:after="170"/>
        <w:ind w:firstLine="283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Capítulo IV</w:t>
      </w:r>
    </w:p>
    <w:p w:rsidR="00312616" w:rsidRDefault="00312616" w:rsidP="00312616">
      <w:pPr>
        <w:spacing w:before="170" w:after="170"/>
        <w:ind w:firstLine="283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Das Disposições Finais</w:t>
      </w:r>
    </w:p>
    <w:p w:rsidR="00312616" w:rsidRDefault="00312616" w:rsidP="00312616">
      <w:pPr>
        <w:spacing w:before="120"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Art. 6º</w:t>
      </w:r>
      <w:r>
        <w:rPr>
          <w:rFonts w:ascii="Palatino Linotype" w:hAnsi="Palatino Linotype"/>
          <w:b/>
        </w:rPr>
        <w:t>.</w:t>
      </w:r>
      <w:r>
        <w:rPr>
          <w:rFonts w:ascii="Palatino Linotype" w:hAnsi="Palatino Linotype"/>
        </w:rPr>
        <w:t xml:space="preserve"> O Conselho do FUNDEB terá um Presidente e um Vice-Presidente, ambos eleitos por seus pares. 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Parágrafo único. Estão impedidos de ocupar a Presidência e a Vice-presidência os conselheiros designados nos termos do art. 2º, alínea a, desta lei.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7º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Na hipótese em que o membro que ocupa a função de Presidente do Conselho do FUNDEB incorrer na situação de afastamento definitivo previsto no art. 3º, a Presidência será ocupada pelo Vice-Presidente.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8º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No prazo máximo de 30 (trinta) dias após a instalação do Conselho do FUNDEB, deverá ser aprovado o Regimento Interno que viabilize seu funcionamento.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>Art.9º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As reuniões ordinárias do Conselho do FUNDEB serão realizadas bimestralmente, com a presença da maioria de seus membros, e, extraordinariamente, quando convocados pelo Presidente ou mediante solicitação por escrito de pelo menos um terço dos membros efetivos.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Parágrafo único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As deliberações serão tomadas pela maioria dos membros presentes, cabendo ao Presidente o voto de qualidade, nos casos em que o julgamento depender de desempate.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Art.10. O Conselho do FUNDEB atuará com autonomia em suas decisões, sem vinculação ou subordinação institucional ao Poder Executivo Municipal.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11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A atuação dos membros do Conselho do FUNDEB: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 - </w:t>
      </w:r>
      <w:proofErr w:type="gramStart"/>
      <w:r>
        <w:rPr>
          <w:rFonts w:ascii="Palatino Linotype" w:hAnsi="Palatino Linotype"/>
          <w:color w:val="000000"/>
        </w:rPr>
        <w:t>não</w:t>
      </w:r>
      <w:proofErr w:type="gramEnd"/>
      <w:r>
        <w:rPr>
          <w:rFonts w:ascii="Palatino Linotype" w:hAnsi="Palatino Linotype"/>
          <w:color w:val="000000"/>
        </w:rPr>
        <w:t xml:space="preserve"> será remunerada;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II - </w:t>
      </w:r>
      <w:proofErr w:type="gramStart"/>
      <w:r>
        <w:rPr>
          <w:rFonts w:ascii="Palatino Linotype" w:hAnsi="Palatino Linotype"/>
          <w:color w:val="000000"/>
        </w:rPr>
        <w:t>é</w:t>
      </w:r>
      <w:proofErr w:type="gramEnd"/>
      <w:r>
        <w:rPr>
          <w:rFonts w:ascii="Palatino Linotype" w:hAnsi="Palatino Linotype"/>
          <w:color w:val="000000"/>
        </w:rPr>
        <w:t xml:space="preserve"> considerada atividade de relevante interesse social;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III - assegura isenção da obrigatoriedade de testemunhar sobre informações recebidas ou prestadas em razão do exercício de suas atividades de conselheiro, e sobre as pessoas que lhes confiarem ou deles receberem informações; e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IV – </w:t>
      </w:r>
      <w:proofErr w:type="gramStart"/>
      <w:r>
        <w:rPr>
          <w:rFonts w:ascii="Palatino Linotype" w:hAnsi="Palatino Linotype"/>
          <w:color w:val="000000"/>
        </w:rPr>
        <w:t>é</w:t>
      </w:r>
      <w:proofErr w:type="gramEnd"/>
      <w:r>
        <w:rPr>
          <w:rFonts w:ascii="Palatino Linotype" w:hAnsi="Palatino Linotype"/>
          <w:color w:val="000000"/>
        </w:rPr>
        <w:t xml:space="preserve"> vedada, quando os conselheiros forem representantes de professores e diretores ou de servidores das escolas públicas, no curso do mandato: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a) exoneração de ofício ou demissão do cargo ou emprego sem justa causa, ou transferência involuntária do estabelecimento de ensino em que atuam;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b) atribuição de falta injustificada ao serviço, em função das atividades do conselho; e</w:t>
      </w:r>
    </w:p>
    <w:p w:rsidR="00312616" w:rsidRDefault="00312616" w:rsidP="00312616">
      <w:pPr>
        <w:tabs>
          <w:tab w:val="left" w:pos="0"/>
        </w:tabs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c) afastamento involuntário e injustificado da condição de conselheiro antes do término do mandato para o qual tenha sido designado.</w:t>
      </w:r>
    </w:p>
    <w:p w:rsidR="00312616" w:rsidRDefault="00312616" w:rsidP="00312616">
      <w:pPr>
        <w:tabs>
          <w:tab w:val="left" w:pos="0"/>
        </w:tabs>
        <w:spacing w:before="57" w:after="57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V – </w:t>
      </w:r>
      <w:proofErr w:type="gramStart"/>
      <w:r>
        <w:rPr>
          <w:rFonts w:ascii="Palatino Linotype" w:hAnsi="Palatino Linotype"/>
          <w:color w:val="000000"/>
        </w:rPr>
        <w:t>é</w:t>
      </w:r>
      <w:proofErr w:type="gramEnd"/>
      <w:r>
        <w:rPr>
          <w:rFonts w:ascii="Palatino Linotype" w:hAnsi="Palatino Linotype"/>
          <w:color w:val="000000"/>
        </w:rPr>
        <w:t xml:space="preserve"> vedada, quando os conselheiros forem representantes de estudantes em atividades do Conselho, no curso do mandato, atribuição de falta injustificada nas atividades escolares.</w:t>
      </w:r>
    </w:p>
    <w:p w:rsidR="00312616" w:rsidRDefault="00312616" w:rsidP="00312616">
      <w:pPr>
        <w:tabs>
          <w:tab w:val="left" w:pos="0"/>
        </w:tabs>
        <w:spacing w:before="57" w:after="57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12. O Conselho do FUNDEB não contará com estrutura administrativa própria, devendo o Município garantir infraestrutura e condições materiais adequadas à execução plena das competências do Conselho e oferecer ao Ministério da Educação os dados cadastrais relativos à sua criação e composição.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Parágrafo único. A Prefeitura Municipal deverá ceder ao Conselho do FUNDEB um servidor do quadro efetivo municipal para atuar como Secretário Executivo do Conselho.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13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O Conselho do FUNDEB poderá, sempre que julgar conveniente: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I - </w:t>
      </w:r>
      <w:proofErr w:type="gramStart"/>
      <w:r>
        <w:rPr>
          <w:rFonts w:ascii="Palatino Linotype" w:hAnsi="Palatino Linotype"/>
        </w:rPr>
        <w:t>apresentar</w:t>
      </w:r>
      <w:proofErr w:type="gramEnd"/>
      <w:r>
        <w:rPr>
          <w:rFonts w:ascii="Palatino Linotype" w:hAnsi="Palatino Linotype"/>
        </w:rPr>
        <w:t>, ao Poder Legislativo local e aos órgãos de controle interno e externo manifestação formal acerca dos registros contábeis e dos demonstrativos gerenciais do Fundo, dando ampla transparência ao documento em sítio da internet;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 - </w:t>
      </w:r>
      <w:proofErr w:type="gramStart"/>
      <w:r>
        <w:rPr>
          <w:rFonts w:ascii="Palatino Linotype" w:hAnsi="Palatino Linotype"/>
        </w:rPr>
        <w:t>por</w:t>
      </w:r>
      <w:proofErr w:type="gramEnd"/>
      <w:r>
        <w:rPr>
          <w:rFonts w:ascii="Palatino Linotype" w:hAnsi="Palatino Linotype"/>
        </w:rPr>
        <w:t xml:space="preserve"> decisão da maioria de seus membros, convocar o Secretário Municipal de Educação, ou servidor equivalente, para prestar esclarecimentos acerca do fluxo de recursos e a execução das despesas do Fundo, devendo a autoridade convocada apresentar-se em prazo não superior a trinta dias.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III - requisitar ao Poder Executivo cópia de documentos, os quais serão imediatamente concedidos, devendo a resposta ocorrer em prazo não superior a 20 (vinte) dias, referentes a: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a) licitação, empenho, liquidação e pagamento de obras e serviços custeados com recursos do Fundo;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b) folhas de pagamento dos profissionais da educação, as quais deverão discriminar aqueles em efetivo exercício na educação básica e indicar o respectivo nível, modalidade ou tipo de estabelecimento a que estejam vinculados;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c) documentos referentes a convênios do Poder Executivo com as instituições comunitárias, confessionais ou filantrópicas sem fins lucrativos que são contempladas com recursos do FUNDEB;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d) outros documentos necessários ao desempenho de suas funções;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IV - </w:t>
      </w:r>
      <w:proofErr w:type="gramStart"/>
      <w:r>
        <w:rPr>
          <w:rFonts w:ascii="Palatino Linotype" w:hAnsi="Palatino Linotype"/>
        </w:rPr>
        <w:t>realizar</w:t>
      </w:r>
      <w:proofErr w:type="gramEnd"/>
      <w:r>
        <w:rPr>
          <w:rFonts w:ascii="Palatino Linotype" w:hAnsi="Palatino Linotype"/>
        </w:rPr>
        <w:t xml:space="preserve"> visitas e inspetorias </w:t>
      </w:r>
      <w:r>
        <w:rPr>
          <w:rFonts w:ascii="Palatino Linotype" w:hAnsi="Palatino Linotype"/>
          <w:i/>
        </w:rPr>
        <w:t xml:space="preserve">in loco </w:t>
      </w:r>
      <w:r>
        <w:rPr>
          <w:rFonts w:ascii="Palatino Linotype" w:hAnsi="Palatino Linotype"/>
        </w:rPr>
        <w:t>para verificar: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a) o desenvolvimento regular de obras e serviços efetuados nas instituições escolares com recursos do Fundo;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b) a adequação do serviço de transporte escolar;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c) a utilização em benefício do sistema de ensino de bens adquiridos com recursos do Fundo.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Art. 14. O Município disponibilizará em sítio na internet informações atualizadas sobre a composição e o funcionamento dos respectivos conselhos de que trata esta Lei, incluídos: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 - </w:t>
      </w:r>
      <w:proofErr w:type="gramStart"/>
      <w:r>
        <w:rPr>
          <w:rFonts w:ascii="Palatino Linotype" w:hAnsi="Palatino Linotype"/>
        </w:rPr>
        <w:t>nomes</w:t>
      </w:r>
      <w:proofErr w:type="gramEnd"/>
      <w:r>
        <w:rPr>
          <w:rFonts w:ascii="Palatino Linotype" w:hAnsi="Palatino Linotype"/>
        </w:rPr>
        <w:t xml:space="preserve"> dos conselheiros e das entidades ou segmentos que representam;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 - </w:t>
      </w:r>
      <w:proofErr w:type="gramStart"/>
      <w:r>
        <w:rPr>
          <w:rFonts w:ascii="Palatino Linotype" w:hAnsi="Palatino Linotype"/>
        </w:rPr>
        <w:t>correio</w:t>
      </w:r>
      <w:proofErr w:type="gramEnd"/>
      <w:r>
        <w:rPr>
          <w:rFonts w:ascii="Palatino Linotype" w:hAnsi="Palatino Linotype"/>
        </w:rPr>
        <w:t xml:space="preserve"> eletrônico ou outro canal de contato direto com o conselho;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III - atas de reuniões; 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IV - </w:t>
      </w:r>
      <w:proofErr w:type="gramStart"/>
      <w:r>
        <w:rPr>
          <w:rFonts w:ascii="Palatino Linotype" w:hAnsi="Palatino Linotype"/>
        </w:rPr>
        <w:t>relatórios e pareceres</w:t>
      </w:r>
      <w:proofErr w:type="gramEnd"/>
      <w:r>
        <w:rPr>
          <w:rFonts w:ascii="Palatino Linotype" w:hAnsi="Palatino Linotype"/>
        </w:rPr>
        <w:t>;</w:t>
      </w:r>
    </w:p>
    <w:p w:rsidR="00312616" w:rsidRDefault="00312616" w:rsidP="0031261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- </w:t>
      </w:r>
      <w:proofErr w:type="gramStart"/>
      <w:r>
        <w:rPr>
          <w:rFonts w:ascii="Palatino Linotype" w:hAnsi="Palatino Linotype"/>
        </w:rPr>
        <w:t>outros</w:t>
      </w:r>
      <w:proofErr w:type="gramEnd"/>
      <w:r>
        <w:rPr>
          <w:rFonts w:ascii="Palatino Linotype" w:hAnsi="Palatino Linotype"/>
        </w:rPr>
        <w:t xml:space="preserve"> documentos produzidos pelo conselho. 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15. Durante o prazo previsto no § 3º do art. 2º, os representantes dos segmentos indicados para o mandato subsequente do Conselho deverão se reunir com os membros do Conselho do FUNDEB, cujo mandato está se encerrando, para transferência de documentos e informações de interesse do Conselho.</w:t>
      </w:r>
    </w:p>
    <w:p w:rsidR="00654241" w:rsidRDefault="00654241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Art.16. Fica expressamente revogada a Lei Municipal nº. 552/2008.</w:t>
      </w:r>
    </w:p>
    <w:p w:rsidR="00312616" w:rsidRDefault="00312616" w:rsidP="00312616">
      <w:pPr>
        <w:spacing w:before="170" w:after="17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Art. 1</w:t>
      </w:r>
      <w:r w:rsidR="00654241">
        <w:rPr>
          <w:rFonts w:ascii="Palatino Linotype" w:hAnsi="Palatino Linotype"/>
          <w:color w:val="000000"/>
        </w:rPr>
        <w:t>7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Palatino Linotype" w:hAnsi="Palatino Linotype"/>
          <w:color w:val="000000"/>
        </w:rPr>
        <w:t xml:space="preserve"> Esta Lei entra em vigor na data de sua publicação.</w:t>
      </w:r>
    </w:p>
    <w:p w:rsidR="00312616" w:rsidRDefault="00981987" w:rsidP="00312616">
      <w:pPr>
        <w:spacing w:before="170" w:after="170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Lamim, 29 de março de 2021.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João Odeon de Arruda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  <w:r>
        <w:rPr>
          <w:rFonts w:ascii="Palatino Linotype" w:hAnsi="Palatino Linotype"/>
          <w:i/>
          <w:color w:val="000000"/>
        </w:rPr>
        <w:t>Prefeito Municipal Interino</w:t>
      </w: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p w:rsidR="00312616" w:rsidRDefault="00312616" w:rsidP="00312616">
      <w:pPr>
        <w:spacing w:before="170" w:after="170"/>
        <w:jc w:val="center"/>
        <w:rPr>
          <w:rFonts w:ascii="Palatino Linotype" w:hAnsi="Palatino Linotype"/>
          <w:i/>
          <w:color w:val="000000"/>
        </w:rPr>
      </w:pPr>
    </w:p>
    <w:sectPr w:rsidR="00312616" w:rsidSect="00C51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48" w:rsidRDefault="007C6348" w:rsidP="00B377AB">
      <w:pPr>
        <w:spacing w:after="0" w:line="240" w:lineRule="auto"/>
      </w:pPr>
      <w:r>
        <w:separator/>
      </w:r>
    </w:p>
  </w:endnote>
  <w:endnote w:type="continuationSeparator" w:id="0">
    <w:p w:rsidR="007C6348" w:rsidRDefault="007C6348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48" w:rsidRPr="00380648" w:rsidRDefault="00380648" w:rsidP="00380648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Praça Divino Espírito Santo, 06, Centro, CEP: 36.455-000 – Lamim -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48" w:rsidRDefault="007C6348" w:rsidP="00B377AB">
      <w:pPr>
        <w:spacing w:after="0" w:line="240" w:lineRule="auto"/>
      </w:pPr>
      <w:r>
        <w:separator/>
      </w:r>
    </w:p>
  </w:footnote>
  <w:footnote w:type="continuationSeparator" w:id="0">
    <w:p w:rsidR="007C6348" w:rsidRDefault="007C6348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76D6"/>
    <w:multiLevelType w:val="hybridMultilevel"/>
    <w:tmpl w:val="75C215F0"/>
    <w:lvl w:ilvl="0" w:tplc="EC700BD4">
      <w:start w:val="1"/>
      <w:numFmt w:val="upperRoman"/>
      <w:lvlText w:val="%1"/>
      <w:lvlJc w:val="left"/>
      <w:pPr>
        <w:ind w:left="100" w:hanging="26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768D8E8">
      <w:numFmt w:val="bullet"/>
      <w:lvlText w:val="•"/>
      <w:lvlJc w:val="left"/>
      <w:pPr>
        <w:ind w:left="1016" w:hanging="268"/>
      </w:pPr>
      <w:rPr>
        <w:lang w:val="pt-PT" w:eastAsia="en-US" w:bidi="ar-SA"/>
      </w:rPr>
    </w:lvl>
    <w:lvl w:ilvl="2" w:tplc="C0F27B2C">
      <w:numFmt w:val="bullet"/>
      <w:lvlText w:val="•"/>
      <w:lvlJc w:val="left"/>
      <w:pPr>
        <w:ind w:left="1933" w:hanging="268"/>
      </w:pPr>
      <w:rPr>
        <w:lang w:val="pt-PT" w:eastAsia="en-US" w:bidi="ar-SA"/>
      </w:rPr>
    </w:lvl>
    <w:lvl w:ilvl="3" w:tplc="A664EA80">
      <w:numFmt w:val="bullet"/>
      <w:lvlText w:val="•"/>
      <w:lvlJc w:val="left"/>
      <w:pPr>
        <w:ind w:left="2850" w:hanging="268"/>
      </w:pPr>
      <w:rPr>
        <w:lang w:val="pt-PT" w:eastAsia="en-US" w:bidi="ar-SA"/>
      </w:rPr>
    </w:lvl>
    <w:lvl w:ilvl="4" w:tplc="B46C2B0E">
      <w:numFmt w:val="bullet"/>
      <w:lvlText w:val="•"/>
      <w:lvlJc w:val="left"/>
      <w:pPr>
        <w:ind w:left="3767" w:hanging="268"/>
      </w:pPr>
      <w:rPr>
        <w:lang w:val="pt-PT" w:eastAsia="en-US" w:bidi="ar-SA"/>
      </w:rPr>
    </w:lvl>
    <w:lvl w:ilvl="5" w:tplc="2012C180">
      <w:numFmt w:val="bullet"/>
      <w:lvlText w:val="•"/>
      <w:lvlJc w:val="left"/>
      <w:pPr>
        <w:ind w:left="4684" w:hanging="268"/>
      </w:pPr>
      <w:rPr>
        <w:lang w:val="pt-PT" w:eastAsia="en-US" w:bidi="ar-SA"/>
      </w:rPr>
    </w:lvl>
    <w:lvl w:ilvl="6" w:tplc="F308FE0A">
      <w:numFmt w:val="bullet"/>
      <w:lvlText w:val="•"/>
      <w:lvlJc w:val="left"/>
      <w:pPr>
        <w:ind w:left="5600" w:hanging="268"/>
      </w:pPr>
      <w:rPr>
        <w:lang w:val="pt-PT" w:eastAsia="en-US" w:bidi="ar-SA"/>
      </w:rPr>
    </w:lvl>
    <w:lvl w:ilvl="7" w:tplc="6F4C4E50">
      <w:numFmt w:val="bullet"/>
      <w:lvlText w:val="•"/>
      <w:lvlJc w:val="left"/>
      <w:pPr>
        <w:ind w:left="6517" w:hanging="268"/>
      </w:pPr>
      <w:rPr>
        <w:lang w:val="pt-PT" w:eastAsia="en-US" w:bidi="ar-SA"/>
      </w:rPr>
    </w:lvl>
    <w:lvl w:ilvl="8" w:tplc="AF1EB35C">
      <w:numFmt w:val="bullet"/>
      <w:lvlText w:val="•"/>
      <w:lvlJc w:val="left"/>
      <w:pPr>
        <w:ind w:left="7434" w:hanging="268"/>
      </w:pPr>
      <w:rPr>
        <w:lang w:val="pt-PT" w:eastAsia="en-US" w:bidi="ar-SA"/>
      </w:rPr>
    </w:lvl>
  </w:abstractNum>
  <w:abstractNum w:abstractNumId="2" w15:restartNumberingAfterBreak="0">
    <w:nsid w:val="0B99304E"/>
    <w:multiLevelType w:val="hybridMultilevel"/>
    <w:tmpl w:val="AB2C696E"/>
    <w:lvl w:ilvl="0" w:tplc="F8D00C5A">
      <w:start w:val="1"/>
      <w:numFmt w:val="upperRoman"/>
      <w:lvlText w:val="%1"/>
      <w:lvlJc w:val="left"/>
      <w:pPr>
        <w:ind w:left="1701" w:hanging="1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FC27644">
      <w:numFmt w:val="bullet"/>
      <w:lvlText w:val="•"/>
      <w:lvlJc w:val="left"/>
      <w:pPr>
        <w:ind w:left="2456" w:hanging="184"/>
      </w:pPr>
      <w:rPr>
        <w:lang w:val="pt-PT" w:eastAsia="en-US" w:bidi="ar-SA"/>
      </w:rPr>
    </w:lvl>
    <w:lvl w:ilvl="2" w:tplc="ADE6020C">
      <w:numFmt w:val="bullet"/>
      <w:lvlText w:val="•"/>
      <w:lvlJc w:val="left"/>
      <w:pPr>
        <w:ind w:left="3213" w:hanging="184"/>
      </w:pPr>
      <w:rPr>
        <w:lang w:val="pt-PT" w:eastAsia="en-US" w:bidi="ar-SA"/>
      </w:rPr>
    </w:lvl>
    <w:lvl w:ilvl="3" w:tplc="F5D80E8C">
      <w:numFmt w:val="bullet"/>
      <w:lvlText w:val="•"/>
      <w:lvlJc w:val="left"/>
      <w:pPr>
        <w:ind w:left="3970" w:hanging="184"/>
      </w:pPr>
      <w:rPr>
        <w:lang w:val="pt-PT" w:eastAsia="en-US" w:bidi="ar-SA"/>
      </w:rPr>
    </w:lvl>
    <w:lvl w:ilvl="4" w:tplc="56C06AF8">
      <w:numFmt w:val="bullet"/>
      <w:lvlText w:val="•"/>
      <w:lvlJc w:val="left"/>
      <w:pPr>
        <w:ind w:left="4727" w:hanging="184"/>
      </w:pPr>
      <w:rPr>
        <w:lang w:val="pt-PT" w:eastAsia="en-US" w:bidi="ar-SA"/>
      </w:rPr>
    </w:lvl>
    <w:lvl w:ilvl="5" w:tplc="0A3269DC">
      <w:numFmt w:val="bullet"/>
      <w:lvlText w:val="•"/>
      <w:lvlJc w:val="left"/>
      <w:pPr>
        <w:ind w:left="5484" w:hanging="184"/>
      </w:pPr>
      <w:rPr>
        <w:lang w:val="pt-PT" w:eastAsia="en-US" w:bidi="ar-SA"/>
      </w:rPr>
    </w:lvl>
    <w:lvl w:ilvl="6" w:tplc="A59034FE">
      <w:numFmt w:val="bullet"/>
      <w:lvlText w:val="•"/>
      <w:lvlJc w:val="left"/>
      <w:pPr>
        <w:ind w:left="6240" w:hanging="184"/>
      </w:pPr>
      <w:rPr>
        <w:lang w:val="pt-PT" w:eastAsia="en-US" w:bidi="ar-SA"/>
      </w:rPr>
    </w:lvl>
    <w:lvl w:ilvl="7" w:tplc="4FC2583A">
      <w:numFmt w:val="bullet"/>
      <w:lvlText w:val="•"/>
      <w:lvlJc w:val="left"/>
      <w:pPr>
        <w:ind w:left="6997" w:hanging="184"/>
      </w:pPr>
      <w:rPr>
        <w:lang w:val="pt-PT" w:eastAsia="en-US" w:bidi="ar-SA"/>
      </w:rPr>
    </w:lvl>
    <w:lvl w:ilvl="8" w:tplc="36B428CE">
      <w:numFmt w:val="bullet"/>
      <w:lvlText w:val="•"/>
      <w:lvlJc w:val="left"/>
      <w:pPr>
        <w:ind w:left="7754" w:hanging="184"/>
      </w:pPr>
      <w:rPr>
        <w:lang w:val="pt-PT" w:eastAsia="en-US" w:bidi="ar-SA"/>
      </w:rPr>
    </w:lvl>
  </w:abstractNum>
  <w:abstractNum w:abstractNumId="3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7240C"/>
    <w:multiLevelType w:val="hybridMultilevel"/>
    <w:tmpl w:val="4DF2AEDE"/>
    <w:lvl w:ilvl="0" w:tplc="0E16C15E">
      <w:start w:val="5"/>
      <w:numFmt w:val="upperRoman"/>
      <w:lvlText w:val="%1"/>
      <w:lvlJc w:val="left"/>
      <w:pPr>
        <w:ind w:left="100" w:hanging="4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4A014">
      <w:numFmt w:val="bullet"/>
      <w:lvlText w:val="•"/>
      <w:lvlJc w:val="left"/>
      <w:pPr>
        <w:ind w:left="1016" w:hanging="412"/>
      </w:pPr>
      <w:rPr>
        <w:lang w:val="pt-PT" w:eastAsia="en-US" w:bidi="ar-SA"/>
      </w:rPr>
    </w:lvl>
    <w:lvl w:ilvl="2" w:tplc="A7643430">
      <w:numFmt w:val="bullet"/>
      <w:lvlText w:val="•"/>
      <w:lvlJc w:val="left"/>
      <w:pPr>
        <w:ind w:left="1933" w:hanging="412"/>
      </w:pPr>
      <w:rPr>
        <w:lang w:val="pt-PT" w:eastAsia="en-US" w:bidi="ar-SA"/>
      </w:rPr>
    </w:lvl>
    <w:lvl w:ilvl="3" w:tplc="935EFBAA">
      <w:numFmt w:val="bullet"/>
      <w:lvlText w:val="•"/>
      <w:lvlJc w:val="left"/>
      <w:pPr>
        <w:ind w:left="2850" w:hanging="412"/>
      </w:pPr>
      <w:rPr>
        <w:lang w:val="pt-PT" w:eastAsia="en-US" w:bidi="ar-SA"/>
      </w:rPr>
    </w:lvl>
    <w:lvl w:ilvl="4" w:tplc="4CC80568">
      <w:numFmt w:val="bullet"/>
      <w:lvlText w:val="•"/>
      <w:lvlJc w:val="left"/>
      <w:pPr>
        <w:ind w:left="3767" w:hanging="412"/>
      </w:pPr>
      <w:rPr>
        <w:lang w:val="pt-PT" w:eastAsia="en-US" w:bidi="ar-SA"/>
      </w:rPr>
    </w:lvl>
    <w:lvl w:ilvl="5" w:tplc="C648454E">
      <w:numFmt w:val="bullet"/>
      <w:lvlText w:val="•"/>
      <w:lvlJc w:val="left"/>
      <w:pPr>
        <w:ind w:left="4684" w:hanging="412"/>
      </w:pPr>
      <w:rPr>
        <w:lang w:val="pt-PT" w:eastAsia="en-US" w:bidi="ar-SA"/>
      </w:rPr>
    </w:lvl>
    <w:lvl w:ilvl="6" w:tplc="2F7AC374">
      <w:numFmt w:val="bullet"/>
      <w:lvlText w:val="•"/>
      <w:lvlJc w:val="left"/>
      <w:pPr>
        <w:ind w:left="5600" w:hanging="412"/>
      </w:pPr>
      <w:rPr>
        <w:lang w:val="pt-PT" w:eastAsia="en-US" w:bidi="ar-SA"/>
      </w:rPr>
    </w:lvl>
    <w:lvl w:ilvl="7" w:tplc="DC66B880">
      <w:numFmt w:val="bullet"/>
      <w:lvlText w:val="•"/>
      <w:lvlJc w:val="left"/>
      <w:pPr>
        <w:ind w:left="6517" w:hanging="412"/>
      </w:pPr>
      <w:rPr>
        <w:lang w:val="pt-PT" w:eastAsia="en-US" w:bidi="ar-SA"/>
      </w:rPr>
    </w:lvl>
    <w:lvl w:ilvl="8" w:tplc="B0ECF83E">
      <w:numFmt w:val="bullet"/>
      <w:lvlText w:val="•"/>
      <w:lvlJc w:val="left"/>
      <w:pPr>
        <w:ind w:left="7434" w:hanging="412"/>
      </w:pPr>
      <w:rPr>
        <w:lang w:val="pt-PT" w:eastAsia="en-US" w:bidi="ar-SA"/>
      </w:rPr>
    </w:lvl>
  </w:abstractNum>
  <w:abstractNum w:abstractNumId="6" w15:restartNumberingAfterBreak="0">
    <w:nsid w:val="6A0C0B9A"/>
    <w:multiLevelType w:val="hybridMultilevel"/>
    <w:tmpl w:val="4C4C86B6"/>
    <w:lvl w:ilvl="0" w:tplc="557860FA">
      <w:start w:val="1"/>
      <w:numFmt w:val="upperRoman"/>
      <w:lvlText w:val="%1"/>
      <w:lvlJc w:val="left"/>
      <w:pPr>
        <w:ind w:left="100" w:hanging="188"/>
      </w:pPr>
      <w:rPr>
        <w:rFonts w:ascii="Palatino Linotype" w:eastAsia="Times New Roman" w:hAnsi="Palatino Linotype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B96A8E4A">
      <w:numFmt w:val="bullet"/>
      <w:lvlText w:val="•"/>
      <w:lvlJc w:val="left"/>
      <w:pPr>
        <w:ind w:left="1016" w:hanging="188"/>
      </w:pPr>
      <w:rPr>
        <w:lang w:val="pt-PT" w:eastAsia="en-US" w:bidi="ar-SA"/>
      </w:rPr>
    </w:lvl>
    <w:lvl w:ilvl="2" w:tplc="32487246">
      <w:numFmt w:val="bullet"/>
      <w:lvlText w:val="•"/>
      <w:lvlJc w:val="left"/>
      <w:pPr>
        <w:ind w:left="1933" w:hanging="188"/>
      </w:pPr>
      <w:rPr>
        <w:lang w:val="pt-PT" w:eastAsia="en-US" w:bidi="ar-SA"/>
      </w:rPr>
    </w:lvl>
    <w:lvl w:ilvl="3" w:tplc="61D49636">
      <w:numFmt w:val="bullet"/>
      <w:lvlText w:val="•"/>
      <w:lvlJc w:val="left"/>
      <w:pPr>
        <w:ind w:left="2850" w:hanging="188"/>
      </w:pPr>
      <w:rPr>
        <w:lang w:val="pt-PT" w:eastAsia="en-US" w:bidi="ar-SA"/>
      </w:rPr>
    </w:lvl>
    <w:lvl w:ilvl="4" w:tplc="32E84CF6">
      <w:numFmt w:val="bullet"/>
      <w:lvlText w:val="•"/>
      <w:lvlJc w:val="left"/>
      <w:pPr>
        <w:ind w:left="3767" w:hanging="188"/>
      </w:pPr>
      <w:rPr>
        <w:lang w:val="pt-PT" w:eastAsia="en-US" w:bidi="ar-SA"/>
      </w:rPr>
    </w:lvl>
    <w:lvl w:ilvl="5" w:tplc="FC785236">
      <w:numFmt w:val="bullet"/>
      <w:lvlText w:val="•"/>
      <w:lvlJc w:val="left"/>
      <w:pPr>
        <w:ind w:left="4684" w:hanging="188"/>
      </w:pPr>
      <w:rPr>
        <w:lang w:val="pt-PT" w:eastAsia="en-US" w:bidi="ar-SA"/>
      </w:rPr>
    </w:lvl>
    <w:lvl w:ilvl="6" w:tplc="59DA62C6">
      <w:numFmt w:val="bullet"/>
      <w:lvlText w:val="•"/>
      <w:lvlJc w:val="left"/>
      <w:pPr>
        <w:ind w:left="5600" w:hanging="188"/>
      </w:pPr>
      <w:rPr>
        <w:lang w:val="pt-PT" w:eastAsia="en-US" w:bidi="ar-SA"/>
      </w:rPr>
    </w:lvl>
    <w:lvl w:ilvl="7" w:tplc="A7247A18">
      <w:numFmt w:val="bullet"/>
      <w:lvlText w:val="•"/>
      <w:lvlJc w:val="left"/>
      <w:pPr>
        <w:ind w:left="6517" w:hanging="188"/>
      </w:pPr>
      <w:rPr>
        <w:lang w:val="pt-PT" w:eastAsia="en-US" w:bidi="ar-SA"/>
      </w:rPr>
    </w:lvl>
    <w:lvl w:ilvl="8" w:tplc="52E6CDC2">
      <w:numFmt w:val="bullet"/>
      <w:lvlText w:val="•"/>
      <w:lvlJc w:val="left"/>
      <w:pPr>
        <w:ind w:left="7434" w:hanging="188"/>
      </w:pPr>
      <w:rPr>
        <w:lang w:val="pt-PT" w:eastAsia="en-US" w:bidi="ar-SA"/>
      </w:rPr>
    </w:lvl>
  </w:abstractNum>
  <w:abstractNum w:abstractNumId="7" w15:restartNumberingAfterBreak="0">
    <w:nsid w:val="6B823854"/>
    <w:multiLevelType w:val="hybridMultilevel"/>
    <w:tmpl w:val="3D1824B0"/>
    <w:lvl w:ilvl="0" w:tplc="E6140FC8">
      <w:start w:val="4"/>
      <w:numFmt w:val="upperRoman"/>
      <w:lvlText w:val="%1-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E47CEDE6">
      <w:numFmt w:val="bullet"/>
      <w:lvlText w:val="•"/>
      <w:lvlJc w:val="left"/>
      <w:pPr>
        <w:ind w:left="1016" w:hanging="492"/>
      </w:pPr>
      <w:rPr>
        <w:lang w:val="pt-PT" w:eastAsia="en-US" w:bidi="ar-SA"/>
      </w:rPr>
    </w:lvl>
    <w:lvl w:ilvl="2" w:tplc="1C38DBFC">
      <w:numFmt w:val="bullet"/>
      <w:lvlText w:val="•"/>
      <w:lvlJc w:val="left"/>
      <w:pPr>
        <w:ind w:left="1933" w:hanging="492"/>
      </w:pPr>
      <w:rPr>
        <w:lang w:val="pt-PT" w:eastAsia="en-US" w:bidi="ar-SA"/>
      </w:rPr>
    </w:lvl>
    <w:lvl w:ilvl="3" w:tplc="FDDA3640">
      <w:numFmt w:val="bullet"/>
      <w:lvlText w:val="•"/>
      <w:lvlJc w:val="left"/>
      <w:pPr>
        <w:ind w:left="2850" w:hanging="492"/>
      </w:pPr>
      <w:rPr>
        <w:lang w:val="pt-PT" w:eastAsia="en-US" w:bidi="ar-SA"/>
      </w:rPr>
    </w:lvl>
    <w:lvl w:ilvl="4" w:tplc="8C3408C8">
      <w:numFmt w:val="bullet"/>
      <w:lvlText w:val="•"/>
      <w:lvlJc w:val="left"/>
      <w:pPr>
        <w:ind w:left="3767" w:hanging="492"/>
      </w:pPr>
      <w:rPr>
        <w:lang w:val="pt-PT" w:eastAsia="en-US" w:bidi="ar-SA"/>
      </w:rPr>
    </w:lvl>
    <w:lvl w:ilvl="5" w:tplc="55784284">
      <w:numFmt w:val="bullet"/>
      <w:lvlText w:val="•"/>
      <w:lvlJc w:val="left"/>
      <w:pPr>
        <w:ind w:left="4684" w:hanging="492"/>
      </w:pPr>
      <w:rPr>
        <w:lang w:val="pt-PT" w:eastAsia="en-US" w:bidi="ar-SA"/>
      </w:rPr>
    </w:lvl>
    <w:lvl w:ilvl="6" w:tplc="2F7E71B6">
      <w:numFmt w:val="bullet"/>
      <w:lvlText w:val="•"/>
      <w:lvlJc w:val="left"/>
      <w:pPr>
        <w:ind w:left="5600" w:hanging="492"/>
      </w:pPr>
      <w:rPr>
        <w:lang w:val="pt-PT" w:eastAsia="en-US" w:bidi="ar-SA"/>
      </w:rPr>
    </w:lvl>
    <w:lvl w:ilvl="7" w:tplc="CAEC7532">
      <w:numFmt w:val="bullet"/>
      <w:lvlText w:val="•"/>
      <w:lvlJc w:val="left"/>
      <w:pPr>
        <w:ind w:left="6517" w:hanging="492"/>
      </w:pPr>
      <w:rPr>
        <w:lang w:val="pt-PT" w:eastAsia="en-US" w:bidi="ar-SA"/>
      </w:rPr>
    </w:lvl>
    <w:lvl w:ilvl="8" w:tplc="9EEAF4E0">
      <w:numFmt w:val="bullet"/>
      <w:lvlText w:val="•"/>
      <w:lvlJc w:val="left"/>
      <w:pPr>
        <w:ind w:left="7434" w:hanging="492"/>
      </w:pPr>
      <w:rPr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D2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081C"/>
    <w:rsid w:val="000D4DD2"/>
    <w:rsid w:val="000F0514"/>
    <w:rsid w:val="001050DD"/>
    <w:rsid w:val="00115741"/>
    <w:rsid w:val="00123100"/>
    <w:rsid w:val="001336FF"/>
    <w:rsid w:val="00144381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0CAF"/>
    <w:rsid w:val="001F1E66"/>
    <w:rsid w:val="002205F9"/>
    <w:rsid w:val="00224CA5"/>
    <w:rsid w:val="00224E96"/>
    <w:rsid w:val="0024134F"/>
    <w:rsid w:val="0024382E"/>
    <w:rsid w:val="0025607E"/>
    <w:rsid w:val="00270E12"/>
    <w:rsid w:val="00272C52"/>
    <w:rsid w:val="00292EEB"/>
    <w:rsid w:val="002B79D7"/>
    <w:rsid w:val="002C2041"/>
    <w:rsid w:val="002C469D"/>
    <w:rsid w:val="002C7D2C"/>
    <w:rsid w:val="002D605D"/>
    <w:rsid w:val="002E1555"/>
    <w:rsid w:val="002E552E"/>
    <w:rsid w:val="002F4859"/>
    <w:rsid w:val="002F502A"/>
    <w:rsid w:val="003101BA"/>
    <w:rsid w:val="0031071B"/>
    <w:rsid w:val="00312616"/>
    <w:rsid w:val="00313A2D"/>
    <w:rsid w:val="00326C77"/>
    <w:rsid w:val="00327359"/>
    <w:rsid w:val="00353AF2"/>
    <w:rsid w:val="003566EF"/>
    <w:rsid w:val="00360389"/>
    <w:rsid w:val="00360D43"/>
    <w:rsid w:val="00362E86"/>
    <w:rsid w:val="00364C8C"/>
    <w:rsid w:val="00371419"/>
    <w:rsid w:val="00371A5F"/>
    <w:rsid w:val="0037254A"/>
    <w:rsid w:val="0037415E"/>
    <w:rsid w:val="00380254"/>
    <w:rsid w:val="00380648"/>
    <w:rsid w:val="003A3F14"/>
    <w:rsid w:val="003B2614"/>
    <w:rsid w:val="003C2DC7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288E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A699F"/>
    <w:rsid w:val="005C07DE"/>
    <w:rsid w:val="005E0886"/>
    <w:rsid w:val="005E2D86"/>
    <w:rsid w:val="005E4600"/>
    <w:rsid w:val="005E4A21"/>
    <w:rsid w:val="005F0F6C"/>
    <w:rsid w:val="005F7DDF"/>
    <w:rsid w:val="00600092"/>
    <w:rsid w:val="00605EB2"/>
    <w:rsid w:val="00620B08"/>
    <w:rsid w:val="006215A6"/>
    <w:rsid w:val="006307BA"/>
    <w:rsid w:val="0063687C"/>
    <w:rsid w:val="006424DE"/>
    <w:rsid w:val="00654241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19B2"/>
    <w:rsid w:val="0079533B"/>
    <w:rsid w:val="007A2455"/>
    <w:rsid w:val="007B0DA9"/>
    <w:rsid w:val="007C04CB"/>
    <w:rsid w:val="007C48D1"/>
    <w:rsid w:val="007C6348"/>
    <w:rsid w:val="007D6EEE"/>
    <w:rsid w:val="007F5E6A"/>
    <w:rsid w:val="007F7D22"/>
    <w:rsid w:val="00823A6E"/>
    <w:rsid w:val="00831093"/>
    <w:rsid w:val="00834E04"/>
    <w:rsid w:val="00847AF8"/>
    <w:rsid w:val="00856927"/>
    <w:rsid w:val="008622CF"/>
    <w:rsid w:val="008A0D84"/>
    <w:rsid w:val="008A1408"/>
    <w:rsid w:val="008C5E32"/>
    <w:rsid w:val="008D0F21"/>
    <w:rsid w:val="008D227E"/>
    <w:rsid w:val="008D3845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1987"/>
    <w:rsid w:val="00982727"/>
    <w:rsid w:val="009930C2"/>
    <w:rsid w:val="00993CE6"/>
    <w:rsid w:val="009A0F7C"/>
    <w:rsid w:val="009A3245"/>
    <w:rsid w:val="009B1CF5"/>
    <w:rsid w:val="009C748A"/>
    <w:rsid w:val="009D0616"/>
    <w:rsid w:val="009D5B22"/>
    <w:rsid w:val="009D6171"/>
    <w:rsid w:val="009E153F"/>
    <w:rsid w:val="009E6E26"/>
    <w:rsid w:val="009F3099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E2CBE"/>
    <w:rsid w:val="00AF54B3"/>
    <w:rsid w:val="00B044E8"/>
    <w:rsid w:val="00B048AA"/>
    <w:rsid w:val="00B132C5"/>
    <w:rsid w:val="00B377AB"/>
    <w:rsid w:val="00B41CFE"/>
    <w:rsid w:val="00B43215"/>
    <w:rsid w:val="00B531C6"/>
    <w:rsid w:val="00B532D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E39AB"/>
    <w:rsid w:val="00BF269A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CB1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6DFFC-75D5-4506-856A-FEE7691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1863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Túlio Silveira</cp:lastModifiedBy>
  <cp:revision>2</cp:revision>
  <cp:lastPrinted>2021-01-07T12:55:00Z</cp:lastPrinted>
  <dcterms:created xsi:type="dcterms:W3CDTF">2021-03-29T15:08:00Z</dcterms:created>
  <dcterms:modified xsi:type="dcterms:W3CDTF">2021-03-29T15:08:00Z</dcterms:modified>
</cp:coreProperties>
</file>